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Минздрава России № 201н от 4 мая 2018 г. </w:t>
      </w:r>
    </w:p>
    <w:p>
      <w:pPr>
        <w:pStyle w:val="Heading2"/>
        <w:rPr/>
      </w:pPr>
      <w:r>
        <w:rPr/>
        <w:t>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  <w:br/>
        <w:t>Зарегистрировано в Минюсте России 23 мая 2018 г. N 51156</w:t>
      </w:r>
    </w:p>
    <w:p>
      <w:pPr>
        <w:pStyle w:val="TextBody"/>
        <w:rPr/>
      </w:pPr>
      <w:r>
        <w:rPr/>
        <w:t>В соответствии с частью 5 статьи 79.1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приказываю: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показатели,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 силу приказ Министерства здравоохранения Российской Федерации от 28 ноября 2014 г. N 787н "Об утверждении показателей, характеризующих общие критерии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35321). 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В.И. Скворцова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